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53D81" w14:textId="77777777" w:rsidR="00BD62BE" w:rsidRPr="0069500F" w:rsidRDefault="00BD62BE" w:rsidP="00BD62BE">
      <w:pPr>
        <w:pStyle w:val="Heading1"/>
        <w:ind w:left="0" w:firstLine="0"/>
        <w:jc w:val="center"/>
      </w:pPr>
      <w:r w:rsidRPr="0069500F">
        <w:t xml:space="preserve">Rules concerning the </w:t>
      </w:r>
      <w:r w:rsidRPr="00D168F3">
        <w:t xml:space="preserve">extension of the regulatory time-limit </w:t>
      </w:r>
      <w:r w:rsidRPr="00D168F3">
        <w:br/>
        <w:t>for bringing into use satellite assignments</w:t>
      </w:r>
    </w:p>
    <w:p w14:paraId="112569B0" w14:textId="77777777" w:rsidR="00BD62BE" w:rsidRPr="00D168F3" w:rsidRDefault="00BD62BE" w:rsidP="00BD62BE">
      <w:pPr>
        <w:tabs>
          <w:tab w:val="left" w:pos="3402"/>
        </w:tabs>
        <w:spacing w:before="360" w:line="280" w:lineRule="exact"/>
        <w:rPr>
          <w:szCs w:val="24"/>
        </w:rPr>
      </w:pPr>
      <w:r w:rsidRPr="00D168F3">
        <w:rPr>
          <w:szCs w:val="24"/>
        </w:rPr>
        <w:t xml:space="preserve">WRC-12 took the following decision related to the extension of the regulatory time-limit for bringing into use satellite assignments </w:t>
      </w:r>
      <w:r>
        <w:rPr>
          <w:szCs w:val="24"/>
        </w:rPr>
        <w:t>(</w:t>
      </w:r>
      <w:r w:rsidRPr="00D168F3">
        <w:rPr>
          <w:szCs w:val="24"/>
        </w:rPr>
        <w:t>see paragraph 3.20 of the Minutes of the 13</w:t>
      </w:r>
      <w:r w:rsidRPr="00D168F3">
        <w:rPr>
          <w:szCs w:val="24"/>
          <w:vertAlign w:val="superscript"/>
        </w:rPr>
        <w:t>th</w:t>
      </w:r>
      <w:r w:rsidRPr="00D168F3">
        <w:rPr>
          <w:szCs w:val="24"/>
        </w:rPr>
        <w:t xml:space="preserve"> Plenary meeting, Doc. CMR12/554</w:t>
      </w:r>
      <w:r>
        <w:rPr>
          <w:szCs w:val="24"/>
        </w:rPr>
        <w:t>)</w:t>
      </w:r>
      <w:r w:rsidRPr="00D168F3">
        <w:rPr>
          <w:szCs w:val="24"/>
        </w:rPr>
        <w:t xml:space="preserve">: </w:t>
      </w:r>
    </w:p>
    <w:p w14:paraId="63544719" w14:textId="77777777" w:rsidR="00BD62BE" w:rsidRPr="00D168F3" w:rsidRDefault="00BD62BE" w:rsidP="00BD62BE">
      <w:pPr>
        <w:tabs>
          <w:tab w:val="left" w:pos="3402"/>
        </w:tabs>
        <w:spacing w:line="280" w:lineRule="exact"/>
        <w:rPr>
          <w:bCs/>
          <w:szCs w:val="24"/>
        </w:rPr>
      </w:pPr>
      <w:r w:rsidRPr="00D168F3">
        <w:rPr>
          <w:bCs/>
          <w:szCs w:val="24"/>
        </w:rPr>
        <w:t>“3.20</w:t>
      </w:r>
      <w:r w:rsidRPr="00D168F3">
        <w:rPr>
          <w:bCs/>
          <w:szCs w:val="24"/>
        </w:rPr>
        <w:tab/>
      </w:r>
      <w:r w:rsidRPr="00D168F3">
        <w:rPr>
          <w:szCs w:val="24"/>
        </w:rPr>
        <w:t xml:space="preserve">The </w:t>
      </w:r>
      <w:r w:rsidRPr="00D168F3">
        <w:rPr>
          <w:b/>
          <w:bCs/>
          <w:szCs w:val="24"/>
        </w:rPr>
        <w:t>Chairman of Committee 5</w:t>
      </w:r>
      <w:r w:rsidRPr="00D168F3">
        <w:rPr>
          <w:szCs w:val="24"/>
        </w:rPr>
        <w:t xml:space="preserve">, introducing Document 525, said that it covered four issues relating to agenda item 7 and one relating to agenda item 8.1.2. The first issue relating to agenda item 7 concerned the extension of the regulatory time-limit for bringing into use satellite assignments due to launch delays beyond the control of the administration. Committee 5 had discussed certain proposals to create a new WRC resolution to allow limited and qualified extensions in the case of co-passenger delays and to expand such extensions in the case of </w:t>
      </w:r>
      <w:r w:rsidRPr="00D168F3">
        <w:rPr>
          <w:i/>
          <w:iCs/>
          <w:szCs w:val="24"/>
        </w:rPr>
        <w:t>force majeure</w:t>
      </w:r>
      <w:r w:rsidRPr="00D168F3">
        <w:rPr>
          <w:szCs w:val="24"/>
        </w:rPr>
        <w:t xml:space="preserve">. However, recognizing that there were </w:t>
      </w:r>
      <w:proofErr w:type="gramStart"/>
      <w:r w:rsidRPr="00D168F3">
        <w:rPr>
          <w:szCs w:val="24"/>
        </w:rPr>
        <w:t>a number of</w:t>
      </w:r>
      <w:proofErr w:type="gramEnd"/>
      <w:r w:rsidRPr="00D168F3">
        <w:rPr>
          <w:szCs w:val="24"/>
        </w:rPr>
        <w:t xml:space="preserve"> concerns with creating a resolution, and that such cases could be brought to the Radio Regulations Board or to future conferences on a case-by-case basis, the committee had not pursued the discussion. …”</w:t>
      </w:r>
    </w:p>
    <w:p w14:paraId="333872D5" w14:textId="77777777" w:rsidR="00BD62BE" w:rsidRPr="00D168F3" w:rsidRDefault="00BD62BE" w:rsidP="00BD62BE">
      <w:pPr>
        <w:tabs>
          <w:tab w:val="left" w:pos="3402"/>
        </w:tabs>
        <w:spacing w:line="280" w:lineRule="exact"/>
        <w:rPr>
          <w:szCs w:val="24"/>
        </w:rPr>
      </w:pPr>
      <w:r w:rsidRPr="00D168F3">
        <w:rPr>
          <w:szCs w:val="24"/>
        </w:rPr>
        <w:t xml:space="preserve">WRC-15 took the following decision related to the extension of the regulatory time-limit for bringing into use satellite assignments </w:t>
      </w:r>
      <w:r>
        <w:rPr>
          <w:szCs w:val="24"/>
        </w:rPr>
        <w:t>(</w:t>
      </w:r>
      <w:r w:rsidRPr="00D168F3">
        <w:rPr>
          <w:szCs w:val="24"/>
        </w:rPr>
        <w:t>see paragraph 3.19 of the Minutes of the 7</w:t>
      </w:r>
      <w:r w:rsidRPr="00D168F3">
        <w:rPr>
          <w:szCs w:val="24"/>
          <w:vertAlign w:val="superscript"/>
        </w:rPr>
        <w:t>th</w:t>
      </w:r>
      <w:r w:rsidRPr="00D168F3">
        <w:rPr>
          <w:szCs w:val="24"/>
        </w:rPr>
        <w:t xml:space="preserve"> Plenary meeting, Doc. CMR15/504</w:t>
      </w:r>
      <w:r>
        <w:rPr>
          <w:szCs w:val="24"/>
        </w:rPr>
        <w:t>)</w:t>
      </w:r>
      <w:r w:rsidRPr="00D168F3">
        <w:rPr>
          <w:szCs w:val="24"/>
        </w:rPr>
        <w:t xml:space="preserve">: </w:t>
      </w:r>
    </w:p>
    <w:p w14:paraId="179A2CAC" w14:textId="77777777" w:rsidR="00BD62BE" w:rsidRPr="00D168F3" w:rsidRDefault="00BD62BE" w:rsidP="00BD62BE">
      <w:pPr>
        <w:tabs>
          <w:tab w:val="left" w:pos="3402"/>
        </w:tabs>
        <w:spacing w:line="280" w:lineRule="exact"/>
        <w:rPr>
          <w:szCs w:val="24"/>
        </w:rPr>
      </w:pPr>
      <w:r w:rsidRPr="00D168F3">
        <w:rPr>
          <w:szCs w:val="24"/>
        </w:rPr>
        <w:t>“3.19 (…) In considering the issue of satellite launch failure, WRC-15 confirms the decision taken by WRC-12 (at its thirteenth meeting) that the Board may address requests for a time-limit extension based on either a co-passenger issue or force majeure taking into account internationally applicable rules and practices in this regard so long as any extension is “limited and qualified”.”</w:t>
      </w:r>
    </w:p>
    <w:p w14:paraId="10B08D6A" w14:textId="77777777" w:rsidR="00BD62BE" w:rsidRPr="00D168F3" w:rsidRDefault="00BD62BE" w:rsidP="00BD62BE">
      <w:pPr>
        <w:tabs>
          <w:tab w:val="left" w:pos="3402"/>
        </w:tabs>
        <w:spacing w:line="280" w:lineRule="exact"/>
        <w:rPr>
          <w:szCs w:val="24"/>
        </w:rPr>
      </w:pPr>
      <w:r w:rsidRPr="00D168F3">
        <w:rPr>
          <w:szCs w:val="24"/>
        </w:rPr>
        <w:t>WRC-19 took the following decision related to the situations of co-passenger delay and the use of electric propulsion</w:t>
      </w:r>
      <w:r>
        <w:rPr>
          <w:szCs w:val="24"/>
        </w:rPr>
        <w:t xml:space="preserve"> (</w:t>
      </w:r>
      <w:r w:rsidRPr="00D168F3">
        <w:rPr>
          <w:szCs w:val="24"/>
        </w:rPr>
        <w:t>see paragraph 3.16 of the Minutes of the 8</w:t>
      </w:r>
      <w:r w:rsidRPr="00D168F3">
        <w:rPr>
          <w:szCs w:val="24"/>
          <w:vertAlign w:val="superscript"/>
        </w:rPr>
        <w:t>th</w:t>
      </w:r>
      <w:r w:rsidRPr="00D168F3">
        <w:rPr>
          <w:szCs w:val="24"/>
        </w:rPr>
        <w:t xml:space="preserve"> Plenary meeting, Doc.</w:t>
      </w:r>
      <w:r>
        <w:rPr>
          <w:szCs w:val="24"/>
        </w:rPr>
        <w:t> </w:t>
      </w:r>
      <w:r w:rsidRPr="00D168F3">
        <w:rPr>
          <w:szCs w:val="24"/>
        </w:rPr>
        <w:t>CMR19/569</w:t>
      </w:r>
      <w:r>
        <w:rPr>
          <w:szCs w:val="24"/>
        </w:rPr>
        <w:t>)</w:t>
      </w:r>
      <w:r w:rsidRPr="00D168F3">
        <w:rPr>
          <w:szCs w:val="24"/>
        </w:rPr>
        <w:t xml:space="preserve">: </w:t>
      </w:r>
    </w:p>
    <w:p w14:paraId="602DE78F" w14:textId="77777777" w:rsidR="00BD62BE" w:rsidRPr="00D168F3" w:rsidRDefault="00BD62BE" w:rsidP="00BD62BE">
      <w:pPr>
        <w:tabs>
          <w:tab w:val="left" w:pos="3402"/>
        </w:tabs>
        <w:spacing w:line="280" w:lineRule="exact"/>
        <w:rPr>
          <w:szCs w:val="24"/>
        </w:rPr>
      </w:pPr>
      <w:r w:rsidRPr="00D168F3">
        <w:rPr>
          <w:szCs w:val="24"/>
        </w:rPr>
        <w:t>“3.16 (…) On section 4.3.4 Situations of co-passenger delay, WRC-19 decided that the Board shall consider the provision of the following information as required when dealing with a request for extension of regulatory deadlines due to co-passenger delay:</w:t>
      </w:r>
    </w:p>
    <w:p w14:paraId="5C1940CC" w14:textId="77777777" w:rsidR="00BD62BE" w:rsidRPr="00D168F3" w:rsidRDefault="00BD62BE" w:rsidP="00BD62BE">
      <w:pPr>
        <w:pStyle w:val="enumlev1"/>
      </w:pPr>
      <w:r w:rsidRPr="00D168F3">
        <w:t>–</w:t>
      </w:r>
      <w:r w:rsidRPr="00D168F3">
        <w:tab/>
        <w:t xml:space="preserve">a summary description of the satellite to be launched, including the frequency </w:t>
      </w:r>
      <w:proofErr w:type="gramStart"/>
      <w:r w:rsidRPr="00D168F3">
        <w:t>bands;</w:t>
      </w:r>
      <w:proofErr w:type="gramEnd"/>
    </w:p>
    <w:p w14:paraId="4FD7C8DF" w14:textId="77777777" w:rsidR="00BD62BE" w:rsidRPr="00D168F3" w:rsidRDefault="00BD62BE" w:rsidP="00BD62BE">
      <w:pPr>
        <w:pStyle w:val="enumlev1"/>
      </w:pPr>
      <w:r w:rsidRPr="00D168F3">
        <w:t>–</w:t>
      </w:r>
      <w:r w:rsidRPr="00D168F3">
        <w:tab/>
        <w:t xml:space="preserve">the name of the manufacturer selected to build the satellite and the contract signature </w:t>
      </w:r>
      <w:proofErr w:type="gramStart"/>
      <w:r w:rsidRPr="00D168F3">
        <w:t>date;</w:t>
      </w:r>
      <w:proofErr w:type="gramEnd"/>
    </w:p>
    <w:p w14:paraId="2441E908" w14:textId="77777777" w:rsidR="00BD62BE" w:rsidRPr="00D168F3" w:rsidRDefault="00BD62BE" w:rsidP="00BD62BE">
      <w:pPr>
        <w:pStyle w:val="enumlev1"/>
      </w:pPr>
      <w:r w:rsidRPr="00D168F3">
        <w:t>–</w:t>
      </w:r>
      <w:r w:rsidRPr="00D168F3">
        <w:tab/>
        <w:t xml:space="preserve">the status of the satellite construction, including the date it began and whether it was expected to be completed prior to the initial launch </w:t>
      </w:r>
      <w:proofErr w:type="gramStart"/>
      <w:r w:rsidRPr="00D168F3">
        <w:t>window;</w:t>
      </w:r>
      <w:proofErr w:type="gramEnd"/>
    </w:p>
    <w:p w14:paraId="0F959F77" w14:textId="77777777" w:rsidR="00BD62BE" w:rsidRPr="00D168F3" w:rsidRDefault="00BD62BE" w:rsidP="00BD62BE">
      <w:pPr>
        <w:pStyle w:val="enumlev1"/>
      </w:pPr>
      <w:r w:rsidRPr="00D168F3">
        <w:t>–</w:t>
      </w:r>
      <w:r w:rsidRPr="00D168F3">
        <w:tab/>
        <w:t xml:space="preserve">the name of the launch service provider and the contract signature </w:t>
      </w:r>
      <w:proofErr w:type="gramStart"/>
      <w:r w:rsidRPr="00D168F3">
        <w:t>date;</w:t>
      </w:r>
      <w:proofErr w:type="gramEnd"/>
    </w:p>
    <w:p w14:paraId="7A135D9C" w14:textId="77777777" w:rsidR="00BD62BE" w:rsidRPr="00D168F3" w:rsidRDefault="00BD62BE" w:rsidP="00BD62BE">
      <w:pPr>
        <w:pStyle w:val="enumlev1"/>
      </w:pPr>
      <w:r w:rsidRPr="00D168F3">
        <w:t>–</w:t>
      </w:r>
      <w:r w:rsidRPr="00D168F3">
        <w:tab/>
        <w:t xml:space="preserve">the initial and revised launch </w:t>
      </w:r>
      <w:proofErr w:type="gramStart"/>
      <w:r w:rsidRPr="00D168F3">
        <w:t>window;</w:t>
      </w:r>
      <w:proofErr w:type="gramEnd"/>
    </w:p>
    <w:p w14:paraId="281BA8C7" w14:textId="77777777" w:rsidR="00491713" w:rsidRDefault="00491713" w:rsidP="00BD62BE">
      <w:pPr>
        <w:pStyle w:val="enumlev1"/>
      </w:pPr>
      <w:r>
        <w:br w:type="page"/>
      </w:r>
    </w:p>
    <w:p w14:paraId="53FB3184" w14:textId="1F15F318" w:rsidR="00BD62BE" w:rsidRPr="00D168F3" w:rsidRDefault="00BD62BE" w:rsidP="00BD62BE">
      <w:pPr>
        <w:pStyle w:val="enumlev1"/>
      </w:pPr>
      <w:r w:rsidRPr="00D168F3">
        <w:lastRenderedPageBreak/>
        <w:t>–</w:t>
      </w:r>
      <w:r w:rsidRPr="00D168F3">
        <w:tab/>
        <w:t>sufficient detail to justify that the request for extension is due to co-passenger delay (e.g.</w:t>
      </w:r>
      <w:r>
        <w:t> </w:t>
      </w:r>
      <w:r w:rsidRPr="00D168F3">
        <w:t>a letter from the launch service provider indicating that the launch is delayed because of a delay affecting the co-passenger satellite</w:t>
      </w:r>
      <w:proofErr w:type="gramStart"/>
      <w:r w:rsidRPr="00D168F3">
        <w:t>);</w:t>
      </w:r>
      <w:proofErr w:type="gramEnd"/>
    </w:p>
    <w:p w14:paraId="66A77AEE" w14:textId="77777777" w:rsidR="00BD62BE" w:rsidRPr="00D168F3" w:rsidRDefault="00BD62BE" w:rsidP="00BD62BE">
      <w:pPr>
        <w:pStyle w:val="enumlev1"/>
      </w:pPr>
      <w:r w:rsidRPr="00D168F3">
        <w:t>–</w:t>
      </w:r>
      <w:r w:rsidRPr="00D168F3">
        <w:tab/>
        <w:t>sufficient detail to justify the length of the requested extension period; and</w:t>
      </w:r>
    </w:p>
    <w:p w14:paraId="4223DE78" w14:textId="77777777" w:rsidR="00BD62BE" w:rsidRPr="00D168F3" w:rsidRDefault="00BD62BE" w:rsidP="00BD62BE">
      <w:pPr>
        <w:pStyle w:val="enumlev1"/>
      </w:pPr>
      <w:r w:rsidRPr="00D168F3">
        <w:t>–</w:t>
      </w:r>
      <w:r w:rsidRPr="00D168F3">
        <w:tab/>
        <w:t>any other relevant information and documentation.</w:t>
      </w:r>
    </w:p>
    <w:p w14:paraId="751A6B8C" w14:textId="77777777" w:rsidR="00BD62BE" w:rsidRDefault="00BD62BE" w:rsidP="00BD62BE">
      <w:pPr>
        <w:tabs>
          <w:tab w:val="left" w:pos="3402"/>
        </w:tabs>
        <w:spacing w:line="280" w:lineRule="exact"/>
        <w:rPr>
          <w:szCs w:val="24"/>
        </w:rPr>
      </w:pPr>
      <w:r w:rsidRPr="00D168F3">
        <w:rPr>
          <w:szCs w:val="24"/>
        </w:rPr>
        <w:t xml:space="preserve">When considering requests that qualify as force majeure or co-passenger delay, WRC-19 instructs the RRB to continue to </w:t>
      </w:r>
      <w:proofErr w:type="gramStart"/>
      <w:r w:rsidRPr="00D168F3">
        <w:rPr>
          <w:szCs w:val="24"/>
        </w:rPr>
        <w:t>take into account</w:t>
      </w:r>
      <w:proofErr w:type="gramEnd"/>
      <w:r w:rsidRPr="00D168F3">
        <w:rPr>
          <w:szCs w:val="24"/>
        </w:rPr>
        <w:t xml:space="preserve"> the use of electric propulsion on a case</w:t>
      </w:r>
      <w:r>
        <w:rPr>
          <w:szCs w:val="24"/>
        </w:rPr>
        <w:noBreakHyphen/>
      </w:r>
      <w:r w:rsidRPr="00D168F3">
        <w:rPr>
          <w:szCs w:val="24"/>
        </w:rPr>
        <w:t>by</w:t>
      </w:r>
      <w:r>
        <w:rPr>
          <w:szCs w:val="24"/>
        </w:rPr>
        <w:noBreakHyphen/>
      </w:r>
      <w:r w:rsidRPr="00D168F3">
        <w:rPr>
          <w:szCs w:val="24"/>
        </w:rPr>
        <w:t>case basis when deciding on the length of the extension, based on the merits of each individual case.”</w:t>
      </w:r>
    </w:p>
    <w:p w14:paraId="629A672B" w14:textId="77777777" w:rsidR="00B35BC2" w:rsidRPr="00B35BC2" w:rsidRDefault="00B35BC2" w:rsidP="00B35BC2">
      <w:pPr>
        <w:tabs>
          <w:tab w:val="left" w:pos="3402"/>
        </w:tabs>
        <w:spacing w:line="280" w:lineRule="exact"/>
        <w:rPr>
          <w:szCs w:val="24"/>
        </w:rPr>
      </w:pPr>
      <w:r w:rsidRPr="00B35BC2">
        <w:rPr>
          <w:b/>
          <w:bCs/>
          <w:szCs w:val="24"/>
        </w:rPr>
        <w:t>Note</w:t>
      </w:r>
      <w:r w:rsidRPr="00B35BC2">
        <w:rPr>
          <w:szCs w:val="24"/>
        </w:rPr>
        <w:t>: WRC-23 took the following decision o</w:t>
      </w:r>
      <w:r w:rsidRPr="00B35BC2">
        <w:rPr>
          <w:szCs w:val="24"/>
          <w:lang w:val="en-CA"/>
        </w:rPr>
        <w:t xml:space="preserve">n situations of </w:t>
      </w:r>
      <w:r w:rsidRPr="00B35BC2">
        <w:rPr>
          <w:i/>
          <w:iCs/>
          <w:szCs w:val="24"/>
          <w:lang w:val="en-CA"/>
        </w:rPr>
        <w:t>force majeure</w:t>
      </w:r>
      <w:r w:rsidRPr="00B35BC2">
        <w:rPr>
          <w:szCs w:val="24"/>
          <w:lang w:val="en-CA"/>
        </w:rPr>
        <w:t xml:space="preserve"> related to</w:t>
      </w:r>
      <w:r w:rsidRPr="00B35BC2">
        <w:rPr>
          <w:szCs w:val="24"/>
        </w:rPr>
        <w:t xml:space="preserve"> </w:t>
      </w:r>
      <w:r w:rsidRPr="00B35BC2">
        <w:rPr>
          <w:szCs w:val="24"/>
          <w:lang w:val="en-CA"/>
        </w:rPr>
        <w:t>the extension of time-</w:t>
      </w:r>
      <w:r w:rsidRPr="00B35BC2">
        <w:rPr>
          <w:szCs w:val="24"/>
        </w:rPr>
        <w:t>limits for bringing into use or bringing back into use a frequency assignment, see item 13.4 of the Minutes of the 13</w:t>
      </w:r>
      <w:r w:rsidRPr="00B35BC2">
        <w:rPr>
          <w:szCs w:val="24"/>
          <w:vertAlign w:val="superscript"/>
        </w:rPr>
        <w:t>th</w:t>
      </w:r>
      <w:r w:rsidRPr="00B35BC2">
        <w:rPr>
          <w:szCs w:val="24"/>
        </w:rPr>
        <w:t xml:space="preserve"> Plenary meeting, Doc. </w:t>
      </w:r>
      <w:hyperlink r:id="rId8" w:history="1">
        <w:r w:rsidRPr="00B35BC2">
          <w:rPr>
            <w:rStyle w:val="Hyperlink"/>
            <w:szCs w:val="24"/>
          </w:rPr>
          <w:t>CMR23/528</w:t>
        </w:r>
      </w:hyperlink>
      <w:r w:rsidRPr="00B35BC2">
        <w:rPr>
          <w:szCs w:val="24"/>
        </w:rPr>
        <w:t>:</w:t>
      </w:r>
    </w:p>
    <w:p w14:paraId="5874DAB9" w14:textId="77777777" w:rsidR="00B35BC2" w:rsidRPr="00B35BC2" w:rsidRDefault="00B35BC2" w:rsidP="00B35BC2">
      <w:pPr>
        <w:tabs>
          <w:tab w:val="left" w:pos="3402"/>
        </w:tabs>
        <w:spacing w:line="280" w:lineRule="exact"/>
        <w:rPr>
          <w:b/>
          <w:bCs/>
          <w:i/>
          <w:iCs/>
          <w:szCs w:val="24"/>
          <w:lang w:val="en-CA"/>
        </w:rPr>
      </w:pPr>
      <w:r w:rsidRPr="00B35BC2">
        <w:rPr>
          <w:b/>
          <w:bCs/>
          <w:i/>
          <w:iCs/>
          <w:szCs w:val="24"/>
          <w:lang w:val="en-CA"/>
        </w:rPr>
        <w:t>Issues related to the extension of time-limits for bringing into use or bringing back into use a frequency assignment</w:t>
      </w:r>
    </w:p>
    <w:p w14:paraId="15F7DFF3" w14:textId="77777777" w:rsidR="00B35BC2" w:rsidRPr="00B35BC2" w:rsidRDefault="00B35BC2" w:rsidP="00B35BC2">
      <w:pPr>
        <w:tabs>
          <w:tab w:val="left" w:pos="3402"/>
        </w:tabs>
        <w:spacing w:line="280" w:lineRule="exact"/>
        <w:rPr>
          <w:i/>
          <w:iCs/>
          <w:szCs w:val="24"/>
        </w:rPr>
      </w:pPr>
      <w:r w:rsidRPr="00B35BC2">
        <w:rPr>
          <w:i/>
          <w:iCs/>
          <w:szCs w:val="24"/>
          <w:lang w:val="en-CA"/>
        </w:rPr>
        <w:t>“</w:t>
      </w:r>
      <w:r w:rsidRPr="00B35BC2">
        <w:rPr>
          <w:i/>
          <w:iCs/>
          <w:szCs w:val="24"/>
        </w:rPr>
        <w:t>WRC-23 confirms that, while each case is considered on its merits, providing the following information facilitates the consideration of a request for extension of the regulatory time-limit due to force majeure by the Board:</w:t>
      </w:r>
    </w:p>
    <w:p w14:paraId="6157209A"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a summary description of the satellite to be launched, including the frequency </w:t>
      </w:r>
      <w:proofErr w:type="gramStart"/>
      <w:r w:rsidRPr="00B35BC2">
        <w:rPr>
          <w:i/>
          <w:iCs/>
          <w:szCs w:val="24"/>
        </w:rPr>
        <w:t>bands;</w:t>
      </w:r>
      <w:proofErr w:type="gramEnd"/>
    </w:p>
    <w:p w14:paraId="668A9E0B"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name of the manufacturer selected to build the satellite and the contract signature </w:t>
      </w:r>
      <w:proofErr w:type="gramStart"/>
      <w:r w:rsidRPr="00B35BC2">
        <w:rPr>
          <w:i/>
          <w:iCs/>
          <w:szCs w:val="24"/>
        </w:rPr>
        <w:t>date;</w:t>
      </w:r>
      <w:proofErr w:type="gramEnd"/>
    </w:p>
    <w:p w14:paraId="6EDDEDA0"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status of the satellite construction before the force majeure event, including the date it began and whether it was expected to be completed prior to the initial launch </w:t>
      </w:r>
      <w:proofErr w:type="gramStart"/>
      <w:r w:rsidRPr="00B35BC2">
        <w:rPr>
          <w:i/>
          <w:iCs/>
          <w:szCs w:val="24"/>
        </w:rPr>
        <w:t>window;</w:t>
      </w:r>
      <w:proofErr w:type="gramEnd"/>
    </w:p>
    <w:p w14:paraId="52F206F7"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name of the launch service provider and the contract signature </w:t>
      </w:r>
      <w:proofErr w:type="gramStart"/>
      <w:r w:rsidRPr="00B35BC2">
        <w:rPr>
          <w:i/>
          <w:iCs/>
          <w:szCs w:val="24"/>
        </w:rPr>
        <w:t>date;</w:t>
      </w:r>
      <w:proofErr w:type="gramEnd"/>
    </w:p>
    <w:p w14:paraId="2A0204AE"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efforts and measures taken or envisaged to avoid missing the deadline, to overcome the difficulties faced and to reduce the project timelines, if possible, with supporting evidence by the satellite manufacturer and/or launch service provider as </w:t>
      </w:r>
      <w:proofErr w:type="gramStart"/>
      <w:r w:rsidRPr="00B35BC2">
        <w:rPr>
          <w:i/>
          <w:iCs/>
          <w:szCs w:val="24"/>
        </w:rPr>
        <w:t>appropriate;</w:t>
      </w:r>
      <w:proofErr w:type="gramEnd"/>
    </w:p>
    <w:p w14:paraId="2A7A3D9C" w14:textId="77777777" w:rsidR="00B35BC2" w:rsidRPr="00B35BC2" w:rsidRDefault="00B35BC2" w:rsidP="00491713">
      <w:pPr>
        <w:pStyle w:val="enumlev1"/>
        <w:rPr>
          <w:i/>
          <w:iCs/>
          <w:szCs w:val="24"/>
        </w:rPr>
      </w:pPr>
      <w:r w:rsidRPr="00B35BC2">
        <w:rPr>
          <w:i/>
          <w:iCs/>
          <w:szCs w:val="24"/>
        </w:rPr>
        <w:t>–</w:t>
      </w:r>
      <w:r w:rsidRPr="00B35BC2">
        <w:rPr>
          <w:i/>
          <w:iCs/>
          <w:szCs w:val="24"/>
        </w:rPr>
        <w:tab/>
        <w:t>detailed rationale and assessment against all four conditions of force majeure:</w:t>
      </w:r>
    </w:p>
    <w:p w14:paraId="2E9A5E91" w14:textId="73CB465D" w:rsidR="00B35BC2" w:rsidRPr="00491713" w:rsidRDefault="00491713" w:rsidP="00491713">
      <w:pPr>
        <w:pStyle w:val="enumlev2"/>
        <w:rPr>
          <w:i/>
          <w:iCs/>
        </w:rPr>
      </w:pPr>
      <w:r>
        <w:rPr>
          <w:i/>
          <w:iCs/>
        </w:rPr>
        <w:t>1</w:t>
      </w:r>
      <w:r>
        <w:rPr>
          <w:i/>
          <w:iCs/>
        </w:rPr>
        <w:tab/>
      </w:r>
      <w:r w:rsidR="00B35BC2" w:rsidRPr="00491713">
        <w:rPr>
          <w:i/>
          <w:iCs/>
        </w:rPr>
        <w:t xml:space="preserve">the event must be beyond the control of the </w:t>
      </w:r>
      <w:proofErr w:type="gramStart"/>
      <w:r w:rsidR="00B35BC2" w:rsidRPr="00491713">
        <w:rPr>
          <w:i/>
          <w:iCs/>
        </w:rPr>
        <w:t>obligor;</w:t>
      </w:r>
      <w:proofErr w:type="gramEnd"/>
    </w:p>
    <w:p w14:paraId="732AB2CB" w14:textId="3D84B4B0" w:rsidR="00B35BC2" w:rsidRPr="00491713" w:rsidRDefault="00491713" w:rsidP="00491713">
      <w:pPr>
        <w:pStyle w:val="enumlev2"/>
        <w:rPr>
          <w:i/>
          <w:iCs/>
        </w:rPr>
      </w:pPr>
      <w:r>
        <w:rPr>
          <w:i/>
          <w:iCs/>
        </w:rPr>
        <w:t>2</w:t>
      </w:r>
      <w:r>
        <w:rPr>
          <w:i/>
          <w:iCs/>
        </w:rPr>
        <w:tab/>
      </w:r>
      <w:r w:rsidR="00B35BC2" w:rsidRPr="00491713">
        <w:rPr>
          <w:i/>
          <w:iCs/>
        </w:rPr>
        <w:t xml:space="preserve">the event constituting force majeure must be unforeseen or, if it was foreseeable, must be inevitable or </w:t>
      </w:r>
      <w:proofErr w:type="gramStart"/>
      <w:r w:rsidR="00B35BC2" w:rsidRPr="00491713">
        <w:rPr>
          <w:i/>
          <w:iCs/>
        </w:rPr>
        <w:t>irresistible;</w:t>
      </w:r>
      <w:proofErr w:type="gramEnd"/>
    </w:p>
    <w:p w14:paraId="481A18F2" w14:textId="59E7D024" w:rsidR="00B35BC2" w:rsidRPr="00491713" w:rsidRDefault="00491713" w:rsidP="00491713">
      <w:pPr>
        <w:pStyle w:val="enumlev2"/>
        <w:rPr>
          <w:i/>
          <w:iCs/>
        </w:rPr>
      </w:pPr>
      <w:r>
        <w:rPr>
          <w:i/>
          <w:iCs/>
        </w:rPr>
        <w:t>3</w:t>
      </w:r>
      <w:r>
        <w:rPr>
          <w:i/>
          <w:iCs/>
        </w:rPr>
        <w:tab/>
      </w:r>
      <w:r w:rsidR="00B35BC2" w:rsidRPr="00491713">
        <w:rPr>
          <w:i/>
          <w:iCs/>
        </w:rPr>
        <w:t xml:space="preserve">the event must make it impossible for the obligor to perform its </w:t>
      </w:r>
      <w:proofErr w:type="gramStart"/>
      <w:r w:rsidR="00B35BC2" w:rsidRPr="00491713">
        <w:rPr>
          <w:i/>
          <w:iCs/>
        </w:rPr>
        <w:t>obligation;</w:t>
      </w:r>
      <w:proofErr w:type="gramEnd"/>
    </w:p>
    <w:p w14:paraId="2C3BD7DA" w14:textId="12C79156" w:rsidR="00B35BC2" w:rsidRPr="00491713" w:rsidRDefault="00491713" w:rsidP="00491713">
      <w:pPr>
        <w:pStyle w:val="enumlev2"/>
        <w:rPr>
          <w:i/>
          <w:iCs/>
        </w:rPr>
      </w:pPr>
      <w:r w:rsidRPr="00491713">
        <w:rPr>
          <w:i/>
          <w:iCs/>
        </w:rPr>
        <w:t>4</w:t>
      </w:r>
      <w:r w:rsidRPr="00491713">
        <w:rPr>
          <w:i/>
          <w:iCs/>
        </w:rPr>
        <w:tab/>
      </w:r>
      <w:r w:rsidR="00B35BC2" w:rsidRPr="00491713">
        <w:rPr>
          <w:i/>
          <w:iCs/>
        </w:rPr>
        <w:t>a causal effective connection must exist between the event constituting force majeure and the failure by the obligator to fulfil the obligation.</w:t>
      </w:r>
    </w:p>
    <w:p w14:paraId="0ED49B2B"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initial and revised project milestones for the construction, launch window, launch and orbit raising of the satellite, as well as relocation and in-orbit testing timelines when the satellite is not directly launched in its nominal orbital position or its non-geostationary satellite </w:t>
      </w:r>
      <w:proofErr w:type="gramStart"/>
      <w:r w:rsidRPr="00B35BC2">
        <w:rPr>
          <w:i/>
          <w:iCs/>
          <w:szCs w:val="24"/>
        </w:rPr>
        <w:t>orbit;</w:t>
      </w:r>
      <w:proofErr w:type="gramEnd"/>
    </w:p>
    <w:p w14:paraId="0D51735A"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a detailed rationale for the length of the extension requested, including a breakdown of the nature and extent of the delay experienced so far, the additional delay projected by the manufacturer and launch service provider, and any planned </w:t>
      </w:r>
      <w:proofErr w:type="gramStart"/>
      <w:r w:rsidRPr="00B35BC2">
        <w:rPr>
          <w:i/>
          <w:iCs/>
          <w:szCs w:val="24"/>
        </w:rPr>
        <w:t>contingency;</w:t>
      </w:r>
      <w:proofErr w:type="gramEnd"/>
    </w:p>
    <w:p w14:paraId="035EF6AC" w14:textId="77777777" w:rsidR="00491713" w:rsidRDefault="00491713" w:rsidP="00491713">
      <w:pPr>
        <w:pStyle w:val="enumlev1"/>
        <w:rPr>
          <w:i/>
          <w:iCs/>
          <w:szCs w:val="24"/>
        </w:rPr>
      </w:pPr>
      <w:r>
        <w:rPr>
          <w:i/>
          <w:iCs/>
          <w:szCs w:val="24"/>
        </w:rPr>
        <w:br w:type="page"/>
      </w:r>
    </w:p>
    <w:p w14:paraId="08C2F60D" w14:textId="06EB13B0" w:rsidR="00B35BC2" w:rsidRPr="00B35BC2" w:rsidRDefault="00B35BC2" w:rsidP="00491713">
      <w:pPr>
        <w:pStyle w:val="enumlev1"/>
        <w:rPr>
          <w:i/>
          <w:iCs/>
          <w:szCs w:val="24"/>
        </w:rPr>
      </w:pPr>
      <w:r w:rsidRPr="00B35BC2">
        <w:rPr>
          <w:i/>
          <w:iCs/>
          <w:szCs w:val="24"/>
        </w:rPr>
        <w:lastRenderedPageBreak/>
        <w:t>–</w:t>
      </w:r>
      <w:r w:rsidRPr="00B35BC2">
        <w:rPr>
          <w:i/>
          <w:iCs/>
          <w:szCs w:val="24"/>
        </w:rPr>
        <w:tab/>
        <w:t>any other relevant information and documentation.</w:t>
      </w:r>
    </w:p>
    <w:p w14:paraId="3A660699" w14:textId="77777777" w:rsidR="00B35BC2" w:rsidRPr="00491713" w:rsidRDefault="00B35BC2" w:rsidP="00491713">
      <w:pPr>
        <w:rPr>
          <w:i/>
          <w:iCs/>
        </w:rPr>
      </w:pPr>
      <w:r w:rsidRPr="00491713">
        <w:rPr>
          <w:i/>
          <w:iCs/>
        </w:rPr>
        <w:t>WRC-23 also confirms the Board’s approach with respect to contingency periods in the determination of the length of an extension in cases of force majeure.</w:t>
      </w:r>
    </w:p>
    <w:p w14:paraId="7717E60F" w14:textId="77777777" w:rsidR="00B35BC2" w:rsidRPr="00491713" w:rsidRDefault="00B35BC2" w:rsidP="00491713">
      <w:pPr>
        <w:rPr>
          <w:i/>
          <w:iCs/>
        </w:rPr>
      </w:pPr>
      <w:r w:rsidRPr="00491713">
        <w:rPr>
          <w:i/>
          <w:iCs/>
        </w:rPr>
        <w:t>WRC-23 also noted that the Board is now examining how all four conditions of force majeure are met on a case-by-case basis when the COVID-19 pandemic is invoked as the force majeure event.</w:t>
      </w:r>
    </w:p>
    <w:p w14:paraId="6AE1BC6A" w14:textId="77777777" w:rsidR="00B35BC2" w:rsidRPr="00491713" w:rsidRDefault="00B35BC2" w:rsidP="00491713">
      <w:pPr>
        <w:rPr>
          <w:i/>
          <w:iCs/>
        </w:rPr>
      </w:pPr>
      <w:r w:rsidRPr="00491713">
        <w:rPr>
          <w:i/>
          <w:iCs/>
        </w:rPr>
        <w:t xml:space="preserve">WRC-23 instructs the Board to reflect the above-confirmations in the </w:t>
      </w:r>
      <w:proofErr w:type="spellStart"/>
      <w:r w:rsidRPr="00491713">
        <w:rPr>
          <w:i/>
          <w:iCs/>
        </w:rPr>
        <w:t>RoP</w:t>
      </w:r>
      <w:proofErr w:type="spellEnd"/>
      <w:r w:rsidRPr="00491713">
        <w:rPr>
          <w:i/>
          <w:iCs/>
        </w:rPr>
        <w:t xml:space="preserve"> concerning the extension of the regulatory time-limit for bringing into use satellite assignments.”</w:t>
      </w:r>
    </w:p>
    <w:p w14:paraId="154C0D17" w14:textId="77777777" w:rsidR="00B35BC2" w:rsidRPr="00B35BC2" w:rsidRDefault="00B35BC2" w:rsidP="00491713">
      <w:r w:rsidRPr="00B35BC2">
        <w:rPr>
          <w:b/>
          <w:bCs/>
        </w:rPr>
        <w:t>Note</w:t>
      </w:r>
      <w:r w:rsidRPr="00B35BC2">
        <w:t>: WRC-23 took the following decision o</w:t>
      </w:r>
      <w:r w:rsidRPr="00B35BC2">
        <w:rPr>
          <w:lang w:val="en-CA"/>
        </w:rPr>
        <w:t xml:space="preserve">n situations </w:t>
      </w:r>
      <w:r w:rsidRPr="00B35BC2">
        <w:t>of co-passenger delay related to the extension of time-limits for bringing into use or bringing back into use a frequency assignment, see item 13.6 of the Minutes of the 13</w:t>
      </w:r>
      <w:r w:rsidRPr="00B35BC2">
        <w:rPr>
          <w:vertAlign w:val="superscript"/>
        </w:rPr>
        <w:t>th</w:t>
      </w:r>
      <w:r w:rsidRPr="00B35BC2">
        <w:t xml:space="preserve"> Plenary meeting, Doc. </w:t>
      </w:r>
      <w:hyperlink r:id="rId9" w:history="1">
        <w:r w:rsidRPr="00B35BC2">
          <w:rPr>
            <w:rStyle w:val="Hyperlink"/>
            <w:szCs w:val="24"/>
          </w:rPr>
          <w:t>CMR23/528</w:t>
        </w:r>
      </w:hyperlink>
      <w:r w:rsidRPr="00B35BC2">
        <w:t>:</w:t>
      </w:r>
    </w:p>
    <w:p w14:paraId="219EF310" w14:textId="77777777" w:rsidR="00B35BC2" w:rsidRPr="00B35BC2" w:rsidRDefault="00B35BC2" w:rsidP="00491713">
      <w:pPr>
        <w:rPr>
          <w:i/>
          <w:iCs/>
          <w:szCs w:val="24"/>
        </w:rPr>
      </w:pPr>
      <w:r w:rsidRPr="00B35BC2">
        <w:rPr>
          <w:i/>
          <w:iCs/>
          <w:szCs w:val="24"/>
          <w:lang w:val="en-CA"/>
        </w:rPr>
        <w:t>“</w:t>
      </w:r>
      <w:r w:rsidRPr="00B35BC2">
        <w:rPr>
          <w:i/>
          <w:iCs/>
          <w:szCs w:val="24"/>
        </w:rPr>
        <w:t>WRC-23 confirms that the WRC-19 decision for the provision of information as required when dealing with a request for extension of regulatory time-limits due to co-passenger delay should be revised as shown below:</w:t>
      </w:r>
    </w:p>
    <w:p w14:paraId="69DF8021"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a summary description of the satellite to be launched, including the frequency </w:t>
      </w:r>
      <w:proofErr w:type="gramStart"/>
      <w:r w:rsidRPr="00B35BC2">
        <w:rPr>
          <w:i/>
          <w:iCs/>
          <w:szCs w:val="24"/>
        </w:rPr>
        <w:t>bands;</w:t>
      </w:r>
      <w:proofErr w:type="gramEnd"/>
    </w:p>
    <w:p w14:paraId="3E437197"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name of the manufacturer selected to build the satellite and the contract signature </w:t>
      </w:r>
      <w:proofErr w:type="gramStart"/>
      <w:r w:rsidRPr="00B35BC2">
        <w:rPr>
          <w:i/>
          <w:iCs/>
          <w:szCs w:val="24"/>
        </w:rPr>
        <w:t>date;</w:t>
      </w:r>
      <w:proofErr w:type="gramEnd"/>
    </w:p>
    <w:p w14:paraId="3C699482"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status of the satellite construction, including the date it began and whether it was expected to be completed prior to the initial launch </w:t>
      </w:r>
      <w:proofErr w:type="gramStart"/>
      <w:r w:rsidRPr="00B35BC2">
        <w:rPr>
          <w:i/>
          <w:iCs/>
          <w:szCs w:val="24"/>
        </w:rPr>
        <w:t>window;</w:t>
      </w:r>
      <w:proofErr w:type="gramEnd"/>
    </w:p>
    <w:p w14:paraId="39731339"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name of the launch service provider and the contract signature </w:t>
      </w:r>
      <w:proofErr w:type="gramStart"/>
      <w:r w:rsidRPr="00B35BC2">
        <w:rPr>
          <w:i/>
          <w:iCs/>
          <w:szCs w:val="24"/>
        </w:rPr>
        <w:t>date;</w:t>
      </w:r>
      <w:proofErr w:type="gramEnd"/>
    </w:p>
    <w:p w14:paraId="0EB53CF0" w14:textId="77777777" w:rsidR="00B35BC2" w:rsidRPr="00B35BC2" w:rsidRDefault="00B35BC2" w:rsidP="00491713">
      <w:pPr>
        <w:pStyle w:val="enumlev1"/>
        <w:rPr>
          <w:i/>
          <w:iCs/>
          <w:szCs w:val="24"/>
        </w:rPr>
      </w:pPr>
      <w:r w:rsidRPr="00B35BC2">
        <w:rPr>
          <w:i/>
          <w:iCs/>
          <w:szCs w:val="24"/>
        </w:rPr>
        <w:t>–</w:t>
      </w:r>
      <w:r w:rsidRPr="00B35BC2">
        <w:rPr>
          <w:i/>
          <w:iCs/>
          <w:szCs w:val="24"/>
        </w:rPr>
        <w:tab/>
        <w:t xml:space="preserve">the initial and revised project milestones for the launch window, launch and orbit raising of the satellite, as well as relocation and in-orbit testing timelines when the satellite is not directly launched in its nominal orbital position or its non-geostationary satellite </w:t>
      </w:r>
      <w:proofErr w:type="gramStart"/>
      <w:r w:rsidRPr="00B35BC2">
        <w:rPr>
          <w:i/>
          <w:iCs/>
          <w:szCs w:val="24"/>
        </w:rPr>
        <w:t>orbit;</w:t>
      </w:r>
      <w:proofErr w:type="gramEnd"/>
    </w:p>
    <w:p w14:paraId="59EF84C0" w14:textId="77777777" w:rsidR="00B35BC2" w:rsidRPr="00B35BC2" w:rsidRDefault="00B35BC2" w:rsidP="00491713">
      <w:pPr>
        <w:pStyle w:val="enumlev1"/>
        <w:rPr>
          <w:i/>
          <w:iCs/>
          <w:szCs w:val="24"/>
        </w:rPr>
      </w:pPr>
      <w:r w:rsidRPr="00B35BC2">
        <w:rPr>
          <w:i/>
          <w:iCs/>
          <w:szCs w:val="24"/>
        </w:rPr>
        <w:t>–</w:t>
      </w:r>
      <w:r w:rsidRPr="00B35BC2">
        <w:rPr>
          <w:i/>
          <w:iCs/>
          <w:szCs w:val="24"/>
        </w:rPr>
        <w:tab/>
        <w:t>sufficient detail to justify that the request for extension is due to co-passenger delay (e.g. a letter from the launch service provider indicating that the launch is delayed because of a delay affecting the co-passenger satellite</w:t>
      </w:r>
      <w:proofErr w:type="gramStart"/>
      <w:r w:rsidRPr="00B35BC2">
        <w:rPr>
          <w:i/>
          <w:iCs/>
          <w:szCs w:val="24"/>
        </w:rPr>
        <w:t>);</w:t>
      </w:r>
      <w:proofErr w:type="gramEnd"/>
    </w:p>
    <w:p w14:paraId="54C4911E" w14:textId="77777777" w:rsidR="00B35BC2" w:rsidRPr="00B35BC2" w:rsidRDefault="00B35BC2" w:rsidP="00491713">
      <w:pPr>
        <w:pStyle w:val="enumlev1"/>
        <w:rPr>
          <w:i/>
          <w:iCs/>
          <w:szCs w:val="24"/>
        </w:rPr>
      </w:pPr>
      <w:r w:rsidRPr="00B35BC2">
        <w:rPr>
          <w:i/>
          <w:iCs/>
          <w:szCs w:val="24"/>
        </w:rPr>
        <w:t xml:space="preserve">- </w:t>
      </w:r>
      <w:r w:rsidRPr="00B35BC2">
        <w:rPr>
          <w:i/>
          <w:iCs/>
          <w:szCs w:val="24"/>
        </w:rPr>
        <w:tab/>
        <w:t>a detailed rationale for the length of the extension requested, including a breakdown of the nature and extent of the delay experienced so far, the additional delay projected by the launch service provider, and any planned contingency, and</w:t>
      </w:r>
    </w:p>
    <w:p w14:paraId="13FFFDCC" w14:textId="77777777" w:rsidR="00B35BC2" w:rsidRPr="00B35BC2" w:rsidRDefault="00B35BC2" w:rsidP="00491713">
      <w:pPr>
        <w:pStyle w:val="enumlev1"/>
        <w:rPr>
          <w:i/>
          <w:iCs/>
          <w:szCs w:val="24"/>
        </w:rPr>
      </w:pPr>
      <w:r w:rsidRPr="00B35BC2">
        <w:rPr>
          <w:i/>
          <w:iCs/>
          <w:szCs w:val="24"/>
        </w:rPr>
        <w:t>–</w:t>
      </w:r>
      <w:r w:rsidRPr="00B35BC2">
        <w:rPr>
          <w:i/>
          <w:iCs/>
          <w:szCs w:val="24"/>
        </w:rPr>
        <w:tab/>
        <w:t>any other relevant information and documentation.</w:t>
      </w:r>
    </w:p>
    <w:p w14:paraId="5EB8430A" w14:textId="77777777" w:rsidR="00B35BC2" w:rsidRPr="00B35BC2" w:rsidRDefault="00B35BC2" w:rsidP="00B35BC2">
      <w:pPr>
        <w:tabs>
          <w:tab w:val="left" w:pos="3402"/>
        </w:tabs>
        <w:spacing w:line="280" w:lineRule="exact"/>
        <w:rPr>
          <w:szCs w:val="24"/>
        </w:rPr>
      </w:pPr>
      <w:r w:rsidRPr="00B35BC2">
        <w:rPr>
          <w:i/>
          <w:iCs/>
          <w:szCs w:val="24"/>
        </w:rPr>
        <w:t xml:space="preserve">WRC-23 instructs the Board to reflect the above-confirmation in the </w:t>
      </w:r>
      <w:proofErr w:type="spellStart"/>
      <w:r w:rsidRPr="00B35BC2">
        <w:rPr>
          <w:i/>
          <w:iCs/>
          <w:szCs w:val="24"/>
        </w:rPr>
        <w:t>RoP</w:t>
      </w:r>
      <w:proofErr w:type="spellEnd"/>
      <w:r w:rsidRPr="00B35BC2">
        <w:rPr>
          <w:i/>
          <w:iCs/>
          <w:szCs w:val="24"/>
        </w:rPr>
        <w:t xml:space="preserve"> concerning the extension of the regulatory time-limit for bringing into use satellite assignments.”</w:t>
      </w:r>
    </w:p>
    <w:p w14:paraId="5B00D4C6" w14:textId="5E1B8FB9" w:rsidR="00FF5E31" w:rsidRDefault="00BD62BE" w:rsidP="00491713">
      <w:pPr>
        <w:jc w:val="center"/>
      </w:pPr>
      <w:r w:rsidRPr="0069500F">
        <w:t>___________________</w:t>
      </w:r>
    </w:p>
    <w:p w14:paraId="680F4EE7" w14:textId="77777777" w:rsidR="00F85A88" w:rsidRDefault="00F85A88" w:rsidP="00491713">
      <w:pPr>
        <w:jc w:val="center"/>
      </w:pPr>
    </w:p>
    <w:p w14:paraId="76519096" w14:textId="77777777" w:rsidR="00F85A88" w:rsidRDefault="00F85A88" w:rsidP="00F85A88">
      <w:pPr>
        <w:sectPr w:rsidR="00F85A88" w:rsidSect="00EF6FC2">
          <w:headerReference w:type="even" r:id="rId10"/>
          <w:headerReference w:type="default" r:id="rId11"/>
          <w:headerReference w:type="first" r:id="rId12"/>
          <w:footnotePr>
            <w:pos w:val="beneathText"/>
          </w:footnotePr>
          <w:pgSz w:w="11907" w:h="16840" w:code="9"/>
          <w:pgMar w:top="1701" w:right="851" w:bottom="1134" w:left="1985" w:header="720" w:footer="482" w:gutter="0"/>
          <w:pgNumType w:start="1"/>
          <w:cols w:space="720"/>
          <w:vAlign w:val="both"/>
          <w:docGrid w:linePitch="326"/>
        </w:sectPr>
      </w:pPr>
    </w:p>
    <w:p w14:paraId="3EF9201B" w14:textId="77777777" w:rsidR="00F85A88" w:rsidRDefault="00F85A88" w:rsidP="00F85A88"/>
    <w:sectPr w:rsidR="00F85A88" w:rsidSect="00EF6FC2">
      <w:headerReference w:type="default" r:id="rId13"/>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E55A" w14:textId="77777777" w:rsidR="00E60D15" w:rsidRDefault="00E60D15">
      <w:r>
        <w:separator/>
      </w:r>
    </w:p>
  </w:endnote>
  <w:endnote w:type="continuationSeparator" w:id="0">
    <w:p w14:paraId="1EB80D5E" w14:textId="77777777" w:rsidR="00E60D15" w:rsidRDefault="00E6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6D5D" w14:textId="77777777" w:rsidR="00E60D15" w:rsidRDefault="00E60D15">
      <w:r>
        <w:rPr>
          <w:b/>
        </w:rPr>
        <w:t>_______________</w:t>
      </w:r>
    </w:p>
  </w:footnote>
  <w:footnote w:type="continuationSeparator" w:id="0">
    <w:p w14:paraId="722ECF61" w14:textId="77777777" w:rsidR="00E60D15" w:rsidRDefault="00E6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2977"/>
      <w:gridCol w:w="1701"/>
      <w:gridCol w:w="1701"/>
    </w:tblGrid>
    <w:tr w:rsidR="002A777F" w14:paraId="169EACDA" w14:textId="77777777" w:rsidTr="00D32A94">
      <w:trPr>
        <w:cantSplit/>
      </w:trPr>
      <w:tc>
        <w:tcPr>
          <w:tcW w:w="1701" w:type="dxa"/>
          <w:tcBorders>
            <w:top w:val="single" w:sz="6" w:space="0" w:color="auto"/>
            <w:left w:val="single" w:sz="6" w:space="0" w:color="auto"/>
            <w:bottom w:val="single" w:sz="6" w:space="0" w:color="auto"/>
            <w:right w:val="single" w:sz="6" w:space="0" w:color="auto"/>
          </w:tcBorders>
        </w:tcPr>
        <w:p w14:paraId="0AC70E04" w14:textId="77777777" w:rsidR="002A777F" w:rsidRDefault="002A777F" w:rsidP="002A777F">
          <w:pPr>
            <w:pStyle w:val="HeaderRegProc"/>
          </w:pPr>
          <w:proofErr w:type="spellStart"/>
          <w:r>
            <w:t>Part</w:t>
          </w:r>
          <w:proofErr w:type="spellEnd"/>
          <w:r>
            <w:t xml:space="preserve"> A1</w:t>
          </w:r>
        </w:p>
      </w:tc>
      <w:tc>
        <w:tcPr>
          <w:tcW w:w="2977" w:type="dxa"/>
          <w:tcBorders>
            <w:top w:val="single" w:sz="6" w:space="0" w:color="auto"/>
            <w:left w:val="single" w:sz="6" w:space="0" w:color="auto"/>
            <w:bottom w:val="single" w:sz="6" w:space="0" w:color="auto"/>
            <w:right w:val="single" w:sz="6" w:space="0" w:color="auto"/>
          </w:tcBorders>
        </w:tcPr>
        <w:p w14:paraId="11715811" w14:textId="77777777" w:rsidR="002A777F" w:rsidRPr="00F41DBC" w:rsidRDefault="002A777F" w:rsidP="002A777F">
          <w:pPr>
            <w:pStyle w:val="HeaderRegProc"/>
            <w:rPr>
              <w:lang w:val="en-GB"/>
            </w:rPr>
          </w:pPr>
          <w:r w:rsidRPr="00812A52">
            <w:rPr>
              <w:bCs w:val="0"/>
              <w:lang w:val="en-GB"/>
            </w:rPr>
            <w:t>E</w:t>
          </w:r>
          <w:r w:rsidRPr="00D168F3">
            <w:rPr>
              <w:bCs w:val="0"/>
              <w:lang w:val="en-GB"/>
            </w:rPr>
            <w:t>xtension of the reg</w:t>
          </w:r>
          <w:r w:rsidRPr="00812A52">
            <w:rPr>
              <w:bCs w:val="0"/>
              <w:lang w:val="en-GB"/>
            </w:rPr>
            <w:t>.</w:t>
          </w:r>
          <w:r w:rsidRPr="00D168F3">
            <w:rPr>
              <w:bCs w:val="0"/>
              <w:lang w:val="en-GB"/>
            </w:rPr>
            <w:t xml:space="preserve"> time-limit</w:t>
          </w:r>
        </w:p>
      </w:tc>
      <w:tc>
        <w:tcPr>
          <w:tcW w:w="1701" w:type="dxa"/>
          <w:tcBorders>
            <w:top w:val="single" w:sz="6" w:space="0" w:color="auto"/>
            <w:left w:val="single" w:sz="6" w:space="0" w:color="auto"/>
            <w:bottom w:val="single" w:sz="6" w:space="0" w:color="auto"/>
            <w:right w:val="single" w:sz="6" w:space="0" w:color="auto"/>
          </w:tcBorders>
        </w:tcPr>
        <w:p w14:paraId="444C48E3" w14:textId="77777777" w:rsidR="002A777F" w:rsidRDefault="002A777F" w:rsidP="002A777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94F598" w14:textId="4938A93D" w:rsidR="002A777F" w:rsidRDefault="002A777F" w:rsidP="002A777F">
          <w:pPr>
            <w:pStyle w:val="HeaderRegProc"/>
            <w:rPr>
              <w:lang w:val="fr-CH"/>
            </w:rPr>
          </w:pPr>
          <w:proofErr w:type="spellStart"/>
          <w:proofErr w:type="gramStart"/>
          <w:r>
            <w:rPr>
              <w:lang w:val="fr-CH"/>
            </w:rPr>
            <w:t>rev</w:t>
          </w:r>
          <w:proofErr w:type="spellEnd"/>
          <w:proofErr w:type="gramEnd"/>
          <w:r>
            <w:rPr>
              <w:lang w:val="fr-CH"/>
            </w:rPr>
            <w:t xml:space="preserve">. </w:t>
          </w:r>
          <w:r w:rsidR="00491713">
            <w:rPr>
              <w:lang w:val="fr-CH"/>
            </w:rPr>
            <w:t>-</w:t>
          </w:r>
        </w:p>
      </w:tc>
    </w:tr>
  </w:tbl>
  <w:p w14:paraId="1A175834" w14:textId="77777777" w:rsidR="002A777F" w:rsidRDefault="002A7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977"/>
      <w:gridCol w:w="1701"/>
      <w:gridCol w:w="1701"/>
    </w:tblGrid>
    <w:tr w:rsidR="002A777F" w14:paraId="07C64905" w14:textId="77777777" w:rsidTr="00D32A94">
      <w:trPr>
        <w:cantSplit/>
        <w:jc w:val="right"/>
      </w:trPr>
      <w:tc>
        <w:tcPr>
          <w:tcW w:w="1701" w:type="dxa"/>
          <w:tcBorders>
            <w:top w:val="single" w:sz="6" w:space="0" w:color="auto"/>
            <w:left w:val="single" w:sz="6" w:space="0" w:color="auto"/>
            <w:bottom w:val="single" w:sz="6" w:space="0" w:color="auto"/>
            <w:right w:val="single" w:sz="6" w:space="0" w:color="auto"/>
          </w:tcBorders>
        </w:tcPr>
        <w:p w14:paraId="0C804A53" w14:textId="77777777" w:rsidR="002A777F" w:rsidRDefault="002A777F" w:rsidP="002A777F">
          <w:pPr>
            <w:pStyle w:val="HeaderRegProc"/>
            <w:ind w:right="360" w:firstLine="360"/>
            <w:jc w:val="left"/>
          </w:pPr>
          <w:proofErr w:type="spellStart"/>
          <w:r>
            <w:t>Part</w:t>
          </w:r>
          <w:proofErr w:type="spellEnd"/>
          <w:r>
            <w:t xml:space="preserve"> A1</w:t>
          </w:r>
        </w:p>
      </w:tc>
      <w:tc>
        <w:tcPr>
          <w:tcW w:w="2977" w:type="dxa"/>
          <w:tcBorders>
            <w:top w:val="single" w:sz="6" w:space="0" w:color="auto"/>
            <w:left w:val="single" w:sz="6" w:space="0" w:color="auto"/>
            <w:bottom w:val="single" w:sz="6" w:space="0" w:color="auto"/>
            <w:right w:val="single" w:sz="6" w:space="0" w:color="auto"/>
          </w:tcBorders>
        </w:tcPr>
        <w:p w14:paraId="30AFF751" w14:textId="77777777" w:rsidR="002A777F" w:rsidRPr="00D168F3" w:rsidRDefault="002A777F" w:rsidP="002A777F">
          <w:pPr>
            <w:pStyle w:val="HeaderRegProc"/>
            <w:rPr>
              <w:lang w:val="en-GB"/>
            </w:rPr>
          </w:pPr>
          <w:r w:rsidRPr="00812A52">
            <w:rPr>
              <w:bCs w:val="0"/>
              <w:lang w:val="en-GB"/>
            </w:rPr>
            <w:t>E</w:t>
          </w:r>
          <w:r w:rsidRPr="00D168F3">
            <w:rPr>
              <w:bCs w:val="0"/>
              <w:lang w:val="en-GB"/>
            </w:rPr>
            <w:t>xtension of the reg</w:t>
          </w:r>
          <w:r w:rsidRPr="00812A52">
            <w:rPr>
              <w:bCs w:val="0"/>
              <w:lang w:val="en-GB"/>
            </w:rPr>
            <w:t>.</w:t>
          </w:r>
          <w:r w:rsidRPr="00D168F3">
            <w:rPr>
              <w:bCs w:val="0"/>
              <w:lang w:val="en-GB"/>
            </w:rPr>
            <w:t xml:space="preserve"> time-limit</w:t>
          </w:r>
        </w:p>
      </w:tc>
      <w:tc>
        <w:tcPr>
          <w:tcW w:w="1701" w:type="dxa"/>
          <w:tcBorders>
            <w:top w:val="single" w:sz="6" w:space="0" w:color="auto"/>
            <w:left w:val="single" w:sz="6" w:space="0" w:color="auto"/>
            <w:bottom w:val="single" w:sz="6" w:space="0" w:color="auto"/>
            <w:right w:val="single" w:sz="6" w:space="0" w:color="auto"/>
          </w:tcBorders>
        </w:tcPr>
        <w:p w14:paraId="69AFBBDC" w14:textId="77777777" w:rsidR="002A777F" w:rsidRDefault="002A777F" w:rsidP="002A777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C6D42C" w14:textId="5F929865" w:rsidR="002A777F" w:rsidRDefault="002A777F" w:rsidP="002A777F">
          <w:pPr>
            <w:pStyle w:val="HeaderRegProc"/>
            <w:rPr>
              <w:lang w:val="fr-CH"/>
            </w:rPr>
          </w:pPr>
          <w:proofErr w:type="spellStart"/>
          <w:proofErr w:type="gramStart"/>
          <w:r>
            <w:rPr>
              <w:lang w:val="fr-CH"/>
            </w:rPr>
            <w:t>rev</w:t>
          </w:r>
          <w:proofErr w:type="spellEnd"/>
          <w:proofErr w:type="gramEnd"/>
          <w:r>
            <w:rPr>
              <w:lang w:val="fr-CH"/>
            </w:rPr>
            <w:t>.</w:t>
          </w:r>
          <w:r>
            <w:t xml:space="preserve"> </w:t>
          </w:r>
          <w:r w:rsidR="00491713">
            <w:t>-</w:t>
          </w:r>
        </w:p>
      </w:tc>
    </w:tr>
  </w:tbl>
  <w:p w14:paraId="5D83768F" w14:textId="77777777" w:rsidR="002A777F" w:rsidRDefault="002A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3F813" w14:textId="77777777" w:rsidR="000C08ED" w:rsidRDefault="000C08ED">
    <w:pPr>
      <w:pStyle w:val="Header"/>
    </w:pPr>
  </w:p>
  <w:p w14:paraId="28F0CC64" w14:textId="77777777" w:rsidR="000C08ED" w:rsidRDefault="000C08E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F51E" w14:textId="77777777" w:rsidR="00F85A88" w:rsidRPr="00F85A88" w:rsidRDefault="00F85A88" w:rsidP="00F85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B68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4AB8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CE7A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AAB7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3EE0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3C78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F03A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CA6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6E3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20FD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55D8B3CC"/>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A8131E4"/>
    <w:multiLevelType w:val="hybridMultilevel"/>
    <w:tmpl w:val="325698C6"/>
    <w:lvl w:ilvl="0" w:tplc="738EB2C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7C5437"/>
    <w:multiLevelType w:val="hybridMultilevel"/>
    <w:tmpl w:val="C73CC3B8"/>
    <w:lvl w:ilvl="0" w:tplc="738EB2CC">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09693C"/>
    <w:multiLevelType w:val="hybridMultilevel"/>
    <w:tmpl w:val="D4043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9899046">
    <w:abstractNumId w:val="14"/>
  </w:num>
  <w:num w:numId="2" w16cid:durableId="1805001820">
    <w:abstractNumId w:val="9"/>
  </w:num>
  <w:num w:numId="3" w16cid:durableId="49504464">
    <w:abstractNumId w:val="7"/>
  </w:num>
  <w:num w:numId="4" w16cid:durableId="1223909219">
    <w:abstractNumId w:val="6"/>
  </w:num>
  <w:num w:numId="5" w16cid:durableId="2056076957">
    <w:abstractNumId w:val="5"/>
  </w:num>
  <w:num w:numId="6" w16cid:durableId="226384459">
    <w:abstractNumId w:val="4"/>
  </w:num>
  <w:num w:numId="7" w16cid:durableId="632563812">
    <w:abstractNumId w:val="8"/>
  </w:num>
  <w:num w:numId="8" w16cid:durableId="1963226123">
    <w:abstractNumId w:val="3"/>
  </w:num>
  <w:num w:numId="9" w16cid:durableId="254559422">
    <w:abstractNumId w:val="2"/>
  </w:num>
  <w:num w:numId="10" w16cid:durableId="438136550">
    <w:abstractNumId w:val="1"/>
  </w:num>
  <w:num w:numId="11" w16cid:durableId="1057969976">
    <w:abstractNumId w:val="0"/>
  </w:num>
  <w:num w:numId="12" w16cid:durableId="78648046">
    <w:abstractNumId w:val="12"/>
  </w:num>
  <w:num w:numId="13" w16cid:durableId="19595348">
    <w:abstractNumId w:val="10"/>
    <w:lvlOverride w:ilvl="0">
      <w:startOverride w:val="1"/>
    </w:lvlOverride>
    <w:lvlOverride w:ilvl="1"/>
    <w:lvlOverride w:ilvl="2"/>
    <w:lvlOverride w:ilvl="3"/>
    <w:lvlOverride w:ilvl="4"/>
    <w:lvlOverride w:ilvl="5"/>
    <w:lvlOverride w:ilvl="6"/>
    <w:lvlOverride w:ilvl="7"/>
    <w:lvlOverride w:ilvl="8"/>
  </w:num>
  <w:num w:numId="14" w16cid:durableId="2105608848">
    <w:abstractNumId w:val="10"/>
  </w:num>
  <w:num w:numId="15" w16cid:durableId="102724017">
    <w:abstractNumId w:val="15"/>
  </w:num>
  <w:num w:numId="16" w16cid:durableId="1469127612">
    <w:abstractNumId w:val="13"/>
  </w:num>
  <w:num w:numId="17" w16cid:durableId="594437584">
    <w:abstractNumId w:val="11"/>
  </w:num>
  <w:num w:numId="18" w16cid:durableId="152568360">
    <w:abstractNumId w:val="8"/>
  </w:num>
  <w:num w:numId="19" w16cid:durableId="585580026">
    <w:abstractNumId w:val="3"/>
  </w:num>
  <w:num w:numId="20" w16cid:durableId="725950135">
    <w:abstractNumId w:val="2"/>
  </w:num>
  <w:num w:numId="21" w16cid:durableId="388498359">
    <w:abstractNumId w:val="1"/>
  </w:num>
  <w:num w:numId="22" w16cid:durableId="1718898478">
    <w:abstractNumId w:val="0"/>
  </w:num>
  <w:num w:numId="23" w16cid:durableId="1725906818">
    <w:abstractNumId w:val="8"/>
  </w:num>
  <w:num w:numId="24" w16cid:durableId="791243296">
    <w:abstractNumId w:val="3"/>
  </w:num>
  <w:num w:numId="25" w16cid:durableId="434642468">
    <w:abstractNumId w:val="2"/>
  </w:num>
  <w:num w:numId="26" w16cid:durableId="117578502">
    <w:abstractNumId w:val="1"/>
  </w:num>
  <w:num w:numId="27" w16cid:durableId="9110599">
    <w:abstractNumId w:val="0"/>
  </w:num>
  <w:num w:numId="28" w16cid:durableId="2064869134">
    <w:abstractNumId w:val="8"/>
  </w:num>
  <w:num w:numId="29" w16cid:durableId="1563641899">
    <w:abstractNumId w:val="3"/>
  </w:num>
  <w:num w:numId="30" w16cid:durableId="2000182951">
    <w:abstractNumId w:val="2"/>
  </w:num>
  <w:num w:numId="31" w16cid:durableId="1238322077">
    <w:abstractNumId w:val="1"/>
  </w:num>
  <w:num w:numId="32" w16cid:durableId="1527522598">
    <w:abstractNumId w:val="0"/>
  </w:num>
  <w:num w:numId="33" w16cid:durableId="1480801048">
    <w:abstractNumId w:val="8"/>
  </w:num>
  <w:num w:numId="34" w16cid:durableId="587079352">
    <w:abstractNumId w:val="3"/>
  </w:num>
  <w:num w:numId="35" w16cid:durableId="904611565">
    <w:abstractNumId w:val="2"/>
  </w:num>
  <w:num w:numId="36" w16cid:durableId="430707052">
    <w:abstractNumId w:val="1"/>
  </w:num>
  <w:num w:numId="37" w16cid:durableId="190412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7"/>
    <w:rsid w:val="000231C4"/>
    <w:rsid w:val="00040FB9"/>
    <w:rsid w:val="00044936"/>
    <w:rsid w:val="00045F2B"/>
    <w:rsid w:val="000472D3"/>
    <w:rsid w:val="00062244"/>
    <w:rsid w:val="000C08ED"/>
    <w:rsid w:val="000C6AFF"/>
    <w:rsid w:val="000D6D11"/>
    <w:rsid w:val="000F1F42"/>
    <w:rsid w:val="000F264F"/>
    <w:rsid w:val="00145B32"/>
    <w:rsid w:val="001A0553"/>
    <w:rsid w:val="001A5382"/>
    <w:rsid w:val="001D530B"/>
    <w:rsid w:val="001D56EA"/>
    <w:rsid w:val="002106DE"/>
    <w:rsid w:val="0023504D"/>
    <w:rsid w:val="002529AB"/>
    <w:rsid w:val="002A777F"/>
    <w:rsid w:val="002B0706"/>
    <w:rsid w:val="002C18EA"/>
    <w:rsid w:val="002C76FC"/>
    <w:rsid w:val="002F1791"/>
    <w:rsid w:val="002F1FC2"/>
    <w:rsid w:val="00305A8C"/>
    <w:rsid w:val="00311911"/>
    <w:rsid w:val="00335EAA"/>
    <w:rsid w:val="0035062F"/>
    <w:rsid w:val="003809B6"/>
    <w:rsid w:val="003955F8"/>
    <w:rsid w:val="003A2A4D"/>
    <w:rsid w:val="003B41E5"/>
    <w:rsid w:val="003D5CCB"/>
    <w:rsid w:val="003D6283"/>
    <w:rsid w:val="003E451F"/>
    <w:rsid w:val="003E610A"/>
    <w:rsid w:val="00404E18"/>
    <w:rsid w:val="0041362E"/>
    <w:rsid w:val="0043578B"/>
    <w:rsid w:val="00450730"/>
    <w:rsid w:val="004518CE"/>
    <w:rsid w:val="00491713"/>
    <w:rsid w:val="004A2AEB"/>
    <w:rsid w:val="004B0044"/>
    <w:rsid w:val="00503E9E"/>
    <w:rsid w:val="005058C5"/>
    <w:rsid w:val="00547728"/>
    <w:rsid w:val="005838BD"/>
    <w:rsid w:val="005909E8"/>
    <w:rsid w:val="005F039F"/>
    <w:rsid w:val="005F183C"/>
    <w:rsid w:val="00611A23"/>
    <w:rsid w:val="00642765"/>
    <w:rsid w:val="00643B88"/>
    <w:rsid w:val="00664897"/>
    <w:rsid w:val="00670019"/>
    <w:rsid w:val="0067377C"/>
    <w:rsid w:val="006937D8"/>
    <w:rsid w:val="006C4065"/>
    <w:rsid w:val="006D5F81"/>
    <w:rsid w:val="007054AB"/>
    <w:rsid w:val="00783926"/>
    <w:rsid w:val="007A126D"/>
    <w:rsid w:val="007B7840"/>
    <w:rsid w:val="007C1377"/>
    <w:rsid w:val="007C70D7"/>
    <w:rsid w:val="007F75DE"/>
    <w:rsid w:val="00812A52"/>
    <w:rsid w:val="00814A83"/>
    <w:rsid w:val="008228FC"/>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52F21"/>
    <w:rsid w:val="00963E65"/>
    <w:rsid w:val="009970A4"/>
    <w:rsid w:val="009970C1"/>
    <w:rsid w:val="00A20629"/>
    <w:rsid w:val="00A25E08"/>
    <w:rsid w:val="00A379E0"/>
    <w:rsid w:val="00A46460"/>
    <w:rsid w:val="00A46AEA"/>
    <w:rsid w:val="00A60E53"/>
    <w:rsid w:val="00A6795D"/>
    <w:rsid w:val="00A72783"/>
    <w:rsid w:val="00A83E58"/>
    <w:rsid w:val="00A87136"/>
    <w:rsid w:val="00AA1CF8"/>
    <w:rsid w:val="00AA57C2"/>
    <w:rsid w:val="00AE4765"/>
    <w:rsid w:val="00B10DAB"/>
    <w:rsid w:val="00B25D44"/>
    <w:rsid w:val="00B35BC2"/>
    <w:rsid w:val="00B66C2E"/>
    <w:rsid w:val="00B73439"/>
    <w:rsid w:val="00BD62BE"/>
    <w:rsid w:val="00BE4286"/>
    <w:rsid w:val="00BF093C"/>
    <w:rsid w:val="00C1667D"/>
    <w:rsid w:val="00C43686"/>
    <w:rsid w:val="00C51C05"/>
    <w:rsid w:val="00C71486"/>
    <w:rsid w:val="00C76B35"/>
    <w:rsid w:val="00C80872"/>
    <w:rsid w:val="00C842B7"/>
    <w:rsid w:val="00CB20C5"/>
    <w:rsid w:val="00CF345E"/>
    <w:rsid w:val="00D0060E"/>
    <w:rsid w:val="00D168F3"/>
    <w:rsid w:val="00D43E9F"/>
    <w:rsid w:val="00D5648A"/>
    <w:rsid w:val="00D82336"/>
    <w:rsid w:val="00DB3204"/>
    <w:rsid w:val="00DC0E9B"/>
    <w:rsid w:val="00DE107C"/>
    <w:rsid w:val="00E06BFA"/>
    <w:rsid w:val="00E07B66"/>
    <w:rsid w:val="00E27CF6"/>
    <w:rsid w:val="00E36754"/>
    <w:rsid w:val="00E4236A"/>
    <w:rsid w:val="00E51ECB"/>
    <w:rsid w:val="00E60D15"/>
    <w:rsid w:val="00E63F84"/>
    <w:rsid w:val="00E67915"/>
    <w:rsid w:val="00E8606A"/>
    <w:rsid w:val="00EA6A01"/>
    <w:rsid w:val="00EB1C38"/>
    <w:rsid w:val="00ED3C36"/>
    <w:rsid w:val="00ED5502"/>
    <w:rsid w:val="00EE0555"/>
    <w:rsid w:val="00EE5A52"/>
    <w:rsid w:val="00EF6FC2"/>
    <w:rsid w:val="00F05D32"/>
    <w:rsid w:val="00F20922"/>
    <w:rsid w:val="00F21188"/>
    <w:rsid w:val="00F41DBC"/>
    <w:rsid w:val="00F71A96"/>
    <w:rsid w:val="00F85A88"/>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hgkelc">
    <w:name w:val="hgkelc"/>
    <w:basedOn w:val="DefaultParagraphFont"/>
    <w:rsid w:val="00FF5E31"/>
  </w:style>
  <w:style w:type="paragraph" w:styleId="Revision">
    <w:name w:val="Revision"/>
    <w:hidden/>
    <w:uiPriority w:val="99"/>
    <w:semiHidden/>
    <w:rsid w:val="00311911"/>
    <w:rPr>
      <w:sz w:val="24"/>
      <w:lang w:val="en-GB" w:eastAsia="en-US"/>
    </w:rPr>
  </w:style>
  <w:style w:type="character" w:styleId="UnresolvedMention">
    <w:name w:val="Unresolved Mention"/>
    <w:basedOn w:val="DefaultParagraphFont"/>
    <w:uiPriority w:val="99"/>
    <w:semiHidden/>
    <w:unhideWhenUsed/>
    <w:rsid w:val="00B35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md/R23-WRC23-C-0528/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TotalTime>
  <Pages>5</Pages>
  <Words>1251</Words>
  <Characters>6984</Characters>
  <Application>Microsoft Office Word</Application>
  <DocSecurity>0</DocSecurity>
  <Lines>291</Lines>
  <Paragraphs>235</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Receivability</dc:subject>
  <dc:creator/>
  <cp:keywords/>
  <dc:description/>
  <cp:lastModifiedBy>Gachet, Christelle</cp:lastModifiedBy>
  <cp:revision>12</cp:revision>
  <cp:lastPrinted>2025-11-19T05:34:00Z</cp:lastPrinted>
  <dcterms:created xsi:type="dcterms:W3CDTF">2025-11-04T11:29:00Z</dcterms:created>
  <dcterms:modified xsi:type="dcterms:W3CDTF">2025-11-19T05:36:00Z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b6c75f7c-2794-4d7f-b0ab-2e1ea85bc832</vt:lpwstr>
  </property>
</Properties>
</file>